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lastRenderedPageBreak/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 xml:space="preserve">- essere consapevole delle conseguenze derivanti da dichiarazioni mendaci, previste dal D.P.R. 28/12/2000 n. 445 e </w:t>
      </w:r>
      <w:proofErr w:type="spellStart"/>
      <w:r w:rsidRPr="009C7E3A">
        <w:rPr>
          <w:rFonts w:ascii="Calibri" w:hAnsi="Calibri"/>
          <w:sz w:val="24"/>
          <w:szCs w:val="24"/>
        </w:rPr>
        <w:t>s.m.i.</w:t>
      </w:r>
      <w:proofErr w:type="spellEnd"/>
      <w:r w:rsidRPr="009C7E3A">
        <w:rPr>
          <w:rFonts w:ascii="Calibri" w:hAnsi="Calibri"/>
          <w:sz w:val="24"/>
          <w:szCs w:val="24"/>
        </w:rPr>
        <w:t>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1A7989"/>
    <w:rsid w:val="00256D78"/>
    <w:rsid w:val="004564BD"/>
    <w:rsid w:val="00577025"/>
    <w:rsid w:val="00643AA1"/>
    <w:rsid w:val="007A690E"/>
    <w:rsid w:val="00960E76"/>
    <w:rsid w:val="009C7E3A"/>
    <w:rsid w:val="00A8213B"/>
    <w:rsid w:val="00BC5142"/>
    <w:rsid w:val="00C12EA0"/>
    <w:rsid w:val="00C36E88"/>
    <w:rsid w:val="00C820FB"/>
    <w:rsid w:val="00CC15EF"/>
    <w:rsid w:val="00CC5126"/>
    <w:rsid w:val="00E4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Carmen Somma</cp:lastModifiedBy>
  <cp:revision>2</cp:revision>
  <dcterms:created xsi:type="dcterms:W3CDTF">2025-05-12T10:52:00Z</dcterms:created>
  <dcterms:modified xsi:type="dcterms:W3CDTF">2025-05-12T10:52:00Z</dcterms:modified>
</cp:coreProperties>
</file>